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1E3A8A"/>
        </w:rPr>
        <w:t>YAKOO Tokenomics</w:t>
      </w:r>
    </w:p>
    <w:p>
      <w:pPr>
        <w:pStyle w:val="Heading1"/>
      </w:pPr>
      <w:r>
        <w:rPr>
          <w:color w:val="1E3A8A"/>
        </w:rPr>
        <w:t>Public Sale, Supply Distribution &amp; Network Economics</w:t>
      </w:r>
    </w:p>
    <w:p>
      <w:r>
        <w:rPr>
          <w:b/>
          <w:sz w:val="22"/>
        </w:rPr>
        <w:t>Version 1.0 · June 2026</w:t>
      </w:r>
    </w:p>
    <w:p/>
    <w:p>
      <w:pPr>
        <w:pStyle w:val="Heading1"/>
      </w:pPr>
      <w:r>
        <w:rPr>
          <w:color w:val="1E3A8A"/>
        </w:rPr>
        <w:t>Abstract</w:t>
      </w:r>
    </w:p>
    <w:p>
      <w:r>
        <w:rPr>
          <w:b/>
          <w:sz w:val="22"/>
        </w:rPr>
        <w:t>YAKOO</w:t>
      </w:r>
      <w:r>
        <w:rPr>
          <w:b w:val="0"/>
          <w:i w:val="0"/>
          <w:sz w:val="22"/>
        </w:rPr>
        <w:t xml:space="preserve"> is the native utility and governance token of the </w:t>
      </w:r>
      <w:r>
        <w:rPr>
          <w:b/>
          <w:sz w:val="22"/>
        </w:rPr>
        <w:t>Yakoo AI Network</w:t>
      </w:r>
      <w:r>
        <w:rPr>
          <w:b w:val="0"/>
          <w:i w:val="0"/>
          <w:sz w:val="22"/>
        </w:rPr>
        <w:t xml:space="preserve"> — a decentralized AI commerce network where users earn for verified interaction, miners run agents, and validators attest sessions.</w:t>
      </w:r>
    </w:p>
    <w:p>
      <w:r>
        <w:rPr>
          <w:b w:val="0"/>
          <w:i w:val="0"/>
          <w:sz w:val="22"/>
        </w:rPr>
        <w:t xml:space="preserve">This document defines the </w:t>
      </w:r>
      <w:r>
        <w:rPr>
          <w:b/>
          <w:sz w:val="22"/>
        </w:rPr>
        <w:t>tokenomics for the public sale (ICO)</w:t>
      </w:r>
      <w:r>
        <w:rPr>
          <w:b w:val="0"/>
          <w:i w:val="0"/>
          <w:sz w:val="22"/>
        </w:rPr>
        <w:t>:</w:t>
      </w:r>
    </w:p>
    <w:p>
      <w:pPr>
        <w:pStyle w:val="ListBullet"/>
      </w:pPr>
      <w:r>
        <w:rPr>
          <w:b/>
          <w:sz w:val="22"/>
        </w:rPr>
        <w:t>Total supply:</w:t>
      </w:r>
      <w:r>
        <w:rPr>
          <w:b w:val="0"/>
          <w:i w:val="0"/>
          <w:sz w:val="22"/>
        </w:rPr>
        <w:t xml:space="preserve"> 1,000,000,000 YAKOO (1 billion, fixed max supply)</w:t>
      </w:r>
    </w:p>
    <w:p>
      <w:pPr>
        <w:pStyle w:val="ListBullet"/>
      </w:pPr>
      <w:r>
        <w:rPr>
          <w:b/>
          <w:sz w:val="22"/>
        </w:rPr>
        <w:t>Sale model:</w:t>
      </w:r>
      <w:r>
        <w:rPr>
          <w:b w:val="0"/>
          <w:i w:val="0"/>
          <w:sz w:val="22"/>
        </w:rPr>
        <w:t xml:space="preserve"> Pre-liquidity public sale — contributors purchase </w:t>
      </w:r>
      <w:r>
        <w:rPr>
          <w:b/>
          <w:sz w:val="22"/>
        </w:rPr>
        <w:t>before</w:t>
      </w:r>
      <w:r>
        <w:rPr>
          <w:b w:val="0"/>
          <w:i w:val="0"/>
          <w:sz w:val="22"/>
        </w:rPr>
        <w:t xml:space="preserve"> any DEX liquidity is added</w:t>
      </w:r>
    </w:p>
    <w:p>
      <w:pPr>
        <w:pStyle w:val="ListBullet"/>
      </w:pPr>
      <w:r>
        <w:rPr>
          <w:b/>
          <w:sz w:val="22"/>
        </w:rPr>
        <w:t>Soft cap:</w:t>
      </w:r>
      <w:r>
        <w:rPr>
          <w:b w:val="0"/>
          <w:i w:val="0"/>
          <w:sz w:val="22"/>
        </w:rPr>
        <w:t xml:space="preserve"> $2,000,000 USD equivalent</w:t>
      </w:r>
    </w:p>
    <w:p>
      <w:pPr>
        <w:pStyle w:val="ListBullet"/>
      </w:pPr>
      <w:r>
        <w:rPr>
          <w:b/>
          <w:sz w:val="22"/>
        </w:rPr>
        <w:t>Hard cap:</w:t>
      </w:r>
      <w:r>
        <w:rPr>
          <w:b w:val="0"/>
          <w:i w:val="0"/>
          <w:sz w:val="22"/>
        </w:rPr>
        <w:t xml:space="preserve"> $5,000,000 USD equivalent</w:t>
      </w:r>
    </w:p>
    <w:p>
      <w:pPr>
        <w:pStyle w:val="ListBullet"/>
      </w:pPr>
      <w:r>
        <w:rPr>
          <w:b/>
          <w:sz w:val="22"/>
        </w:rPr>
        <w:t>Structure:</w:t>
      </w:r>
      <w:r>
        <w:rPr>
          <w:b w:val="0"/>
          <w:i w:val="0"/>
          <w:sz w:val="22"/>
        </w:rPr>
        <w:t xml:space="preserve"> </w:t>
      </w:r>
      <w:r>
        <w:rPr>
          <w:b/>
          <w:sz w:val="22"/>
        </w:rPr>
        <w:t>10 stages</w:t>
      </w:r>
      <w:r>
        <w:rPr>
          <w:b w:val="0"/>
          <w:i w:val="0"/>
          <w:sz w:val="22"/>
        </w:rPr>
        <w:t xml:space="preserve">, </w:t>
      </w:r>
      <w:r>
        <w:rPr>
          <w:b/>
          <w:sz w:val="22"/>
        </w:rPr>
        <w:t>1 week per stage</w:t>
      </w:r>
      <w:r>
        <w:rPr>
          <w:b w:val="0"/>
          <w:i w:val="0"/>
          <w:sz w:val="22"/>
        </w:rPr>
        <w:t xml:space="preserve"> (10 weeks total)</w:t>
      </w:r>
    </w:p>
    <w:p>
      <w:pPr>
        <w:pStyle w:val="ListBullet"/>
      </w:pPr>
      <w:r>
        <w:rPr>
          <w:b/>
          <w:sz w:val="22"/>
        </w:rPr>
        <w:t>Chains:</w:t>
      </w:r>
      <w:r>
        <w:rPr>
          <w:b w:val="0"/>
          <w:i w:val="0"/>
          <w:sz w:val="22"/>
        </w:rPr>
        <w:t xml:space="preserve"> Ethereum, BNB Chain, and Solana (cross-chain aggregate caps)</w:t>
      </w:r>
    </w:p>
    <w:p>
      <w:r>
        <w:rPr>
          <w:b w:val="0"/>
          <w:i w:val="0"/>
          <w:sz w:val="22"/>
        </w:rPr>
        <w:t>Network design, training loop, and miner/validator roles are covered in the [Yakoo AI Network Whitepaper](./Yakoo-AI-Network-Whitepaper.md) and [Project Goals](./PROJECT-GOALS.md).</w:t>
      </w:r>
    </w:p>
    <w:p>
      <w:r>
        <w:rPr>
          <w:b/>
          <w:sz w:val="22"/>
        </w:rPr>
        <w:t>Live product:</w:t>
      </w:r>
      <w:r>
        <w:rPr>
          <w:b w:val="0"/>
          <w:i w:val="0"/>
          <w:sz w:val="22"/>
        </w:rPr>
        <w:t xml:space="preserve"> [yakoo.xyz](https://yakoo.xyz) · </w:t>
      </w:r>
      <w:r>
        <w:rPr>
          <w:b/>
          <w:sz w:val="22"/>
        </w:rPr>
        <w:t>ICO:</w:t>
      </w:r>
      <w:r>
        <w:rPr>
          <w:b w:val="0"/>
          <w:i w:val="0"/>
          <w:sz w:val="22"/>
        </w:rPr>
        <w:t xml:space="preserve"> [yakoo.xyz/ico](https://yakoo.xyz/ico)</w:t>
      </w:r>
    </w:p>
    <w:p/>
    <w:p>
      <w:pPr>
        <w:pStyle w:val="Heading1"/>
      </w:pPr>
      <w:r>
        <w:rPr>
          <w:color w:val="1E3A8A"/>
        </w:rPr>
        <w:t>Table of Contents</w:t>
      </w:r>
    </w:p>
    <w:p>
      <w:pPr>
        <w:pStyle w:val="ListNumber"/>
      </w:pPr>
      <w:r>
        <w:rPr>
          <w:b w:val="0"/>
          <w:i w:val="0"/>
          <w:sz w:val="22"/>
        </w:rPr>
        <w:t>Token Overview</w:t>
      </w:r>
    </w:p>
    <w:p>
      <w:pPr>
        <w:pStyle w:val="ListNumber"/>
      </w:pPr>
      <w:r>
        <w:rPr>
          <w:b w:val="0"/>
          <w:i w:val="0"/>
          <w:sz w:val="22"/>
        </w:rPr>
        <w:t>Total Supply &amp; Allocation</w:t>
      </w:r>
    </w:p>
    <w:p>
      <w:pPr>
        <w:pStyle w:val="ListNumber"/>
      </w:pPr>
      <w:r>
        <w:rPr>
          <w:b w:val="0"/>
          <w:i w:val="0"/>
          <w:sz w:val="22"/>
        </w:rPr>
        <w:t>Public Sale (ICO) — Pre-Liquidity</w:t>
      </w:r>
    </w:p>
    <w:p>
      <w:pPr>
        <w:pStyle w:val="ListNumber"/>
      </w:pPr>
      <w:r>
        <w:rPr>
          <w:b w:val="0"/>
          <w:i w:val="0"/>
          <w:sz w:val="22"/>
        </w:rPr>
        <w:t>10-Stage Sale Schedule</w:t>
      </w:r>
    </w:p>
    <w:p>
      <w:pPr>
        <w:pStyle w:val="ListNumber"/>
      </w:pPr>
      <w:r>
        <w:rPr>
          <w:b w:val="0"/>
          <w:i w:val="0"/>
          <w:sz w:val="22"/>
        </w:rPr>
        <w:t>Soft Cap &amp; Hard Cap</w:t>
      </w:r>
    </w:p>
    <w:p>
      <w:pPr>
        <w:pStyle w:val="ListNumber"/>
      </w:pPr>
      <w:r>
        <w:rPr>
          <w:b w:val="0"/>
          <w:i w:val="0"/>
          <w:sz w:val="22"/>
        </w:rPr>
        <w:t>Token Delivery &amp; Liquidity Timeline</w:t>
      </w:r>
    </w:p>
    <w:p>
      <w:pPr>
        <w:pStyle w:val="ListNumber"/>
      </w:pPr>
      <w:r>
        <w:rPr>
          <w:b w:val="0"/>
          <w:i w:val="0"/>
          <w:sz w:val="22"/>
        </w:rPr>
        <w:t>Vesting &amp; Lockups</w:t>
      </w:r>
    </w:p>
    <w:p>
      <w:pPr>
        <w:pStyle w:val="ListNumber"/>
      </w:pPr>
      <w:r>
        <w:rPr>
          <w:b w:val="0"/>
          <w:i w:val="0"/>
          <w:sz w:val="22"/>
        </w:rPr>
        <w:t>Token Utility</w:t>
      </w:r>
    </w:p>
    <w:p>
      <w:pPr>
        <w:pStyle w:val="ListNumber"/>
      </w:pPr>
      <w:r>
        <w:rPr>
          <w:b w:val="0"/>
          <w:i w:val="0"/>
          <w:sz w:val="22"/>
        </w:rPr>
        <w:t>Use of ICO Proceeds</w:t>
      </w:r>
    </w:p>
    <w:p>
      <w:pPr>
        <w:pStyle w:val="ListNumber"/>
      </w:pPr>
      <w:r>
        <w:rPr>
          <w:b w:val="0"/>
          <w:i w:val="0"/>
          <w:sz w:val="22"/>
        </w:rPr>
        <w:t>Multi-Chain Sale Mechanics</w:t>
      </w:r>
    </w:p>
    <w:p>
      <w:pPr>
        <w:pStyle w:val="ListNumber"/>
      </w:pPr>
      <w:r>
        <w:rPr>
          <w:b w:val="0"/>
          <w:i w:val="0"/>
          <w:sz w:val="22"/>
        </w:rPr>
        <w:t>Risk &amp; Disclaimers</w:t>
      </w:r>
    </w:p>
    <w:p/>
    <w:p>
      <w:pPr>
        <w:pStyle w:val="Heading1"/>
      </w:pPr>
      <w:r>
        <w:rPr>
          <w:color w:val="1E3A8A"/>
        </w:rPr>
        <w:t>1. Token Overview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Name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Yakoo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Symbol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YAKOO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Total supply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1,000,000,000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Decimals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18 (EVM) · 9 (Solana mint standard)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Inflation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None — fixed max supply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Sale type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Public ICO (pre-liquidity)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Governance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DAO (post-launch)</w:t>
            </w:r>
          </w:p>
        </w:tc>
      </w:tr>
    </w:tbl>
    <w:p/>
    <w:p>
      <w:r>
        <w:rPr>
          <w:b w:val="0"/>
          <w:i w:val="0"/>
          <w:sz w:val="22"/>
        </w:rPr>
        <w:t xml:space="preserve">YAKOO aligns incentives across </w:t>
      </w:r>
      <w:r>
        <w:rPr>
          <w:b/>
          <w:sz w:val="22"/>
        </w:rPr>
        <w:t>users</w:t>
      </w:r>
      <w:r>
        <w:rPr>
          <w:b w:val="0"/>
          <w:i w:val="0"/>
          <w:sz w:val="22"/>
        </w:rPr>
        <w:t xml:space="preserve"> (training data), </w:t>
      </w:r>
      <w:r>
        <w:rPr>
          <w:b/>
          <w:sz w:val="22"/>
        </w:rPr>
        <w:t>miners</w:t>
      </w:r>
      <w:r>
        <w:rPr>
          <w:b w:val="0"/>
          <w:i w:val="0"/>
          <w:sz w:val="22"/>
        </w:rPr>
        <w:t xml:space="preserve"> (agent operators), and </w:t>
      </w:r>
      <w:r>
        <w:rPr>
          <w:b/>
          <w:sz w:val="22"/>
        </w:rPr>
        <w:t>validators</w:t>
      </w:r>
      <w:r>
        <w:rPr>
          <w:b w:val="0"/>
          <w:i w:val="0"/>
          <w:sz w:val="22"/>
        </w:rPr>
        <w:t xml:space="preserve"> (session attestation). The public sale funds network bootstrap before emissions and marketplace fees fully sustain the ecosystem.</w:t>
      </w:r>
    </w:p>
    <w:p/>
    <w:p>
      <w:pPr>
        <w:pStyle w:val="Heading1"/>
      </w:pPr>
      <w:r>
        <w:rPr>
          <w:color w:val="1E3A8A"/>
        </w:rPr>
        <w:t>2. Total Supply &amp; Allocation</w:t>
      </w:r>
    </w:p>
    <w:p>
      <w:r>
        <w:rPr>
          <w:b/>
          <w:sz w:val="22"/>
        </w:rPr>
        <w:t>1,000,000,000 YAKOO</w:t>
      </w:r>
      <w:r>
        <w:rPr>
          <w:b w:val="0"/>
          <w:i w:val="0"/>
          <w:sz w:val="22"/>
        </w:rPr>
        <w:t xml:space="preserve"> — fixed, no minting beyond genesis allocation.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Allocation</w:t>
            </w:r>
          </w:p>
        </w:tc>
        <w:tc>
          <w:tcPr>
            <w:tcW w:type="dxa" w:w="234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%</w:t>
            </w:r>
          </w:p>
        </w:tc>
        <w:tc>
          <w:tcPr>
            <w:tcW w:type="dxa" w:w="234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Tokens</w:t>
            </w:r>
          </w:p>
        </w:tc>
        <w:tc>
          <w:tcPr>
            <w:tcW w:type="dxa" w:w="234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Public sale (ICO)</w:t>
            </w:r>
          </w:p>
        </w:tc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25%</w:t>
            </w:r>
          </w:p>
        </w:tc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250,000,000</w:t>
            </w:r>
          </w:p>
        </w:tc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10-stage pre-liquidity sale across Ethereum, BNB Chain, Solana</w:t>
            </w:r>
          </w:p>
        </w:tc>
      </w:tr>
      <w:tr>
        <w:tc>
          <w:tcPr>
            <w:tcW w:type="dxa" w:w="234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Miner &amp; user rewards</w:t>
            </w:r>
          </w:p>
        </w:tc>
        <w:tc>
          <w:tcPr>
            <w:tcW w:type="dxa" w:w="234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30%</w:t>
            </w:r>
          </w:p>
        </w:tc>
        <w:tc>
          <w:tcPr>
            <w:tcW w:type="dxa" w:w="234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300,000,000</w:t>
            </w:r>
          </w:p>
        </w:tc>
        <w:tc>
          <w:tcPr>
            <w:tcW w:type="dxa" w:w="234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Emissions for verified agent sessions and training contributions</w:t>
            </w:r>
          </w:p>
        </w:tc>
      </w:tr>
      <w:tr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Ecosystem &amp; treasury</w:t>
            </w:r>
          </w:p>
        </w:tc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20%</w:t>
            </w:r>
          </w:p>
        </w:tc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200,000,000</w:t>
            </w:r>
          </w:p>
        </w:tc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Grants, partnerships, integrations, protocol development</w:t>
            </w:r>
          </w:p>
        </w:tc>
      </w:tr>
      <w:tr>
        <w:tc>
          <w:tcPr>
            <w:tcW w:type="dxa" w:w="234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Team</w:t>
            </w:r>
          </w:p>
        </w:tc>
        <w:tc>
          <w:tcPr>
            <w:tcW w:type="dxa" w:w="234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15%</w:t>
            </w:r>
          </w:p>
        </w:tc>
        <w:tc>
          <w:tcPr>
            <w:tcW w:type="dxa" w:w="234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150,000,000</w:t>
            </w:r>
          </w:p>
        </w:tc>
        <w:tc>
          <w:tcPr>
            <w:tcW w:type="dxa" w:w="234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Core contributors — 4-year vesting, 1-year cliff</w:t>
            </w:r>
          </w:p>
        </w:tc>
      </w:tr>
      <w:tr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Liquidity</w:t>
            </w:r>
          </w:p>
        </w:tc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10%</w:t>
            </w:r>
          </w:p>
        </w:tc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100,000,000</w:t>
            </w:r>
          </w:p>
        </w:tc>
        <w:tc>
          <w:tcPr>
            <w:tcW w:type="dxa" w:w="234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 xml:space="preserve">DEX liquidity seeded </w:t>
            </w:r>
            <w:r>
              <w:rPr>
                <w:b/>
                <w:sz w:val="22"/>
              </w:rPr>
              <w:t>after</w:t>
            </w:r>
            <w:r>
              <w:rPr>
                <w:b w:val="0"/>
                <w:i w:val="0"/>
                <w:sz w:val="22"/>
              </w:rPr>
              <w:t xml:space="preserve"> ICO closes (not sold during ICO)</w:t>
            </w:r>
          </w:p>
        </w:tc>
      </w:tr>
    </w:tbl>
    <w:p/>
    <w:p>
      <w:pPr>
        <w:pStyle w:val="Heading2"/>
      </w:pPr>
      <w:r>
        <w:t>Allocation diagram</w:t>
      </w:r>
    </w:p>
    <w:p/>
    <w:p>
      <w:pPr>
        <w:jc w:val="center"/>
      </w:pPr>
      <w:r>
        <w:rPr>
          <w:i/>
          <w:color w:val="64748B"/>
          <w:sz w:val="18"/>
        </w:rPr>
        <w:t>Figure — Supply Allocation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9360"/>
            <w:shd w:fill="FFF7ED" w:val="clear"/>
            <w:tcBorders>
              <w:top w:val="single" w:sz="6" w:color="FDBA74"/>
              <w:left w:val="single" w:sz="6" w:color="FDBA74"/>
              <w:bottom w:val="single" w:sz="6" w:color="FDBA74"/>
              <w:right w:val="single" w:sz="6" w:color="FDBA74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9138"/>
                <w:sz w:val="22"/>
              </w:rPr>
              <w:t>1,000,000,000 YAKOO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Fixed max supply · no inflation</w:t>
            </w:r>
          </w:p>
        </w:tc>
      </w:tr>
    </w:tbl>
    <w:p>
      <w:pPr>
        <w:spacing w:before="0" w:after="80"/>
      </w:pPr>
    </w:p>
    <w:p>
      <w:pPr>
        <w:spacing w:before="0" w:after="1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60"/>
        <w:gridCol w:w="2592"/>
        <w:gridCol w:w="1728"/>
        <w:gridCol w:w="1296"/>
        <w:gridCol w:w="864"/>
      </w:tblGrid>
      <w:tr>
        <w:tc>
          <w:tcPr>
            <w:tcW w:type="dxa" w:w="1872"/>
            <w:shd w:fill="FFF7ED" w:val="clear"/>
            <w:tcBorders>
              <w:top w:val="single" w:sz="6" w:color="FDBA74"/>
              <w:left w:val="single" w:sz="6" w:color="FDBA74"/>
              <w:bottom w:val="single" w:sz="6" w:color="FDBA74"/>
              <w:right w:val="single" w:sz="6" w:color="FDBA74"/>
            </w:tcBorders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jc w:val="center"/>
            </w:pPr>
            <w:r/>
            <w:r>
              <w:rPr>
                <w:b/>
                <w:color w:val="FF9138"/>
                <w:sz w:val="20"/>
              </w:rPr>
              <w:t>Public ICO</w:t>
              <w:br/>
              <w:t>25%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250M YAKOO</w:t>
              <w:br/>
              <w:t>Pre-liquidity sale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Miner &amp; User</w:t>
              <w:br/>
              <w:t>30%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300M YAKOO</w:t>
              <w:br/>
              <w:t>Network emissions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Treasury</w:t>
              <w:br/>
              <w:t>20%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200M YAKOO</w:t>
              <w:br/>
              <w:t>Ecosystem grants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Team</w:t>
              <w:br/>
              <w:t>15%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150M YAKOO</w:t>
              <w:br/>
              <w:t>4y vest · 1y cliff</w:t>
            </w:r>
          </w:p>
        </w:tc>
        <w:tc>
          <w:tcPr>
            <w:tcW w:type="dxa" w:w="1872"/>
            <w:shd w:fill="FFF7ED" w:val="clear"/>
            <w:tcBorders>
              <w:top w:val="single" w:sz="6" w:color="FDBA74"/>
              <w:left w:val="single" w:sz="6" w:color="FDBA74"/>
              <w:bottom w:val="single" w:sz="6" w:color="FDBA74"/>
              <w:right w:val="single" w:sz="6" w:color="FDBA74"/>
            </w:tcBorders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jc w:val="center"/>
            </w:pPr>
            <w:r/>
            <w:r>
              <w:rPr>
                <w:b/>
                <w:color w:val="FF9138"/>
                <w:sz w:val="20"/>
              </w:rPr>
              <w:t>Liquidity</w:t>
              <w:br/>
              <w:t>10%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100M YAKOO</w:t>
              <w:br/>
              <w:t>Post-ICO DEX seed</w:t>
            </w:r>
          </w:p>
        </w:tc>
      </w:tr>
    </w:tbl>
    <w:p>
      <w:pPr>
        <w:spacing w:before="0" w:after="80"/>
      </w:pPr>
    </w:p>
    <w:p>
      <w:pPr>
        <w:jc w:val="center"/>
      </w:pPr>
      <w:r>
        <w:rPr>
          <w:i/>
          <w:color w:val="64748B"/>
          <w:sz w:val="18"/>
        </w:rPr>
        <w:t>Liquidity allocation is reserved for DEX seeding after ICO — not sold during the public sale.</w:t>
      </w:r>
    </w:p>
    <w:p/>
    <w:p>
      <w:r>
        <w:rPr>
          <w:b/>
          <w:sz w:val="22"/>
        </w:rPr>
        <w:t>Important:</w:t>
      </w:r>
      <w:r>
        <w:rPr>
          <w:b w:val="0"/>
          <w:i w:val="0"/>
          <w:sz w:val="22"/>
        </w:rPr>
        <w:t xml:space="preserve"> The </w:t>
      </w:r>
      <w:r>
        <w:rPr>
          <w:b/>
          <w:sz w:val="22"/>
        </w:rPr>
        <w:t>liquidity allocation is not part of the ICO sale</w:t>
      </w:r>
      <w:r>
        <w:rPr>
          <w:b w:val="0"/>
          <w:i w:val="0"/>
          <w:sz w:val="22"/>
        </w:rPr>
        <w:t xml:space="preserve">. Tokens are reserved and paired on DEX </w:t>
      </w:r>
      <w:r>
        <w:rPr>
          <w:b/>
          <w:sz w:val="22"/>
        </w:rPr>
        <w:t>after</w:t>
      </w:r>
      <w:r>
        <w:rPr>
          <w:b w:val="0"/>
          <w:i w:val="0"/>
          <w:sz w:val="22"/>
        </w:rPr>
        <w:t xml:space="preserve"> the public sale completes and soft cap is met. Contributors buy at staged ICO prices </w:t>
      </w:r>
      <w:r>
        <w:rPr>
          <w:b/>
          <w:sz w:val="22"/>
        </w:rPr>
        <w:t>before</w:t>
      </w:r>
      <w:r>
        <w:rPr>
          <w:b w:val="0"/>
          <w:i w:val="0"/>
          <w:sz w:val="22"/>
        </w:rPr>
        <w:t xml:space="preserve"> the first liquidity pool exists.</w:t>
      </w:r>
    </w:p>
    <w:p/>
    <w:p>
      <w:pPr>
        <w:pStyle w:val="Heading1"/>
      </w:pPr>
      <w:r>
        <w:rPr>
          <w:color w:val="1E3A8A"/>
        </w:rPr>
        <w:t>3. Public Sale (ICO) — Pre-Liquidity</w:t>
      </w:r>
    </w:p>
    <w:p>
      <w:pPr>
        <w:pStyle w:val="Heading2"/>
      </w:pPr>
      <w:r>
        <w:t>Why pre-liquidity?</w:t>
      </w:r>
    </w:p>
    <w:p>
      <w:r>
        <w:rPr>
          <w:b w:val="0"/>
          <w:i w:val="0"/>
          <w:sz w:val="22"/>
        </w:rPr>
        <w:t xml:space="preserve">The ICO runs </w:t>
      </w:r>
      <w:r>
        <w:rPr>
          <w:b/>
          <w:sz w:val="22"/>
        </w:rPr>
        <w:t>before</w:t>
      </w:r>
      <w:r>
        <w:rPr>
          <w:b w:val="0"/>
          <w:i w:val="0"/>
          <w:sz w:val="22"/>
        </w:rPr>
        <w:t xml:space="preserve"> any automated market maker (AMM) pool is created. This means:</w:t>
      </w:r>
    </w:p>
    <w:p>
      <w:pPr>
        <w:pStyle w:val="ListNumber"/>
      </w:pPr>
      <w:r>
        <w:rPr>
          <w:b/>
          <w:sz w:val="22"/>
        </w:rPr>
        <w:t>Early supporters</w:t>
      </w:r>
      <w:r>
        <w:rPr>
          <w:b w:val="0"/>
          <w:i w:val="0"/>
          <w:sz w:val="22"/>
        </w:rPr>
        <w:t xml:space="preserve"> receive staged pricing without competing against pool arbitrage during the sale.</w:t>
      </w:r>
    </w:p>
    <w:p>
      <w:pPr>
        <w:pStyle w:val="ListNumber"/>
      </w:pPr>
      <w:r>
        <w:rPr>
          <w:b/>
          <w:sz w:val="22"/>
        </w:rPr>
        <w:t>Raise caps</w:t>
      </w:r>
      <w:r>
        <w:rPr>
          <w:b w:val="0"/>
          <w:i w:val="0"/>
          <w:sz w:val="22"/>
        </w:rPr>
        <w:t xml:space="preserve"> (soft/hard) apply to the sale contracts, not to secondary trading — because there is no secondary market until TGE + liquidity event.</w:t>
      </w:r>
    </w:p>
    <w:p>
      <w:pPr>
        <w:pStyle w:val="ListNumber"/>
      </w:pPr>
      <w:r>
        <w:rPr>
          <w:b/>
          <w:sz w:val="22"/>
        </w:rPr>
        <w:t>Liquidity allocation (10%)</w:t>
      </w:r>
      <w:r>
        <w:rPr>
          <w:b w:val="0"/>
          <w:i w:val="0"/>
          <w:sz w:val="22"/>
        </w:rPr>
        <w:t xml:space="preserve"> is deployed in a separate, transparent step after the sale — typically paired with a portion of ICO proceeds per governance/policy published before TGE.</w:t>
      </w:r>
    </w:p>
    <w:p>
      <w:pPr>
        <w:pStyle w:val="Heading2"/>
      </w:pPr>
      <w:r>
        <w:t>Sale parameters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Parameter</w:t>
            </w:r>
          </w:p>
        </w:tc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Tokens offered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250,000,000 YAKOO (25% of supply)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Soft cap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$2,000,000</w:t>
            </w:r>
            <w:r>
              <w:rPr>
                <w:b w:val="0"/>
                <w:i w:val="0"/>
                <w:sz w:val="22"/>
              </w:rPr>
              <w:t xml:space="preserve"> USD equivalent (aggregate, all chains)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Hard cap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$5,000,000</w:t>
            </w:r>
            <w:r>
              <w:rPr>
                <w:b w:val="0"/>
                <w:i w:val="0"/>
                <w:sz w:val="22"/>
              </w:rPr>
              <w:t xml:space="preserve"> USD equivalent (aggregate, all chains)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Stages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10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Duration per stage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7 days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Total sale window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~10 weeks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Min contribution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$50 USD equivalent (per wallet, per chain policy)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Max contribution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$25,000 USD equivalent (per wallet, per stage; subject to contract)</w:t>
            </w:r>
          </w:p>
        </w:tc>
      </w:tr>
    </w:tbl>
    <w:p/>
    <w:p>
      <w:r>
        <w:rPr>
          <w:b w:val="0"/>
          <w:i w:val="0"/>
          <w:sz w:val="22"/>
        </w:rPr>
        <w:t xml:space="preserve">Accepted currencies: </w:t>
      </w:r>
      <w:r>
        <w:rPr>
          <w:b/>
          <w:sz w:val="22"/>
        </w:rPr>
        <w:t>ETH</w:t>
      </w:r>
      <w:r>
        <w:rPr>
          <w:b w:val="0"/>
          <w:i w:val="0"/>
          <w:sz w:val="22"/>
        </w:rPr>
        <w:t xml:space="preserve"> (Ethereum), </w:t>
      </w:r>
      <w:r>
        <w:rPr>
          <w:b/>
          <w:sz w:val="22"/>
        </w:rPr>
        <w:t>BNB</w:t>
      </w:r>
      <w:r>
        <w:rPr>
          <w:b w:val="0"/>
          <w:i w:val="0"/>
          <w:sz w:val="22"/>
        </w:rPr>
        <w:t xml:space="preserve"> (BNB Chain), </w:t>
      </w:r>
      <w:r>
        <w:rPr>
          <w:b/>
          <w:sz w:val="22"/>
        </w:rPr>
        <w:t>SOL</w:t>
      </w:r>
      <w:r>
        <w:rPr>
          <w:b w:val="0"/>
          <w:i w:val="0"/>
          <w:sz w:val="22"/>
        </w:rPr>
        <w:t xml:space="preserve"> (Solana). USD figures use an on-chain oracle or admin-published rate snapshot at contribution time (implementation detail in smart contracts).</w:t>
      </w:r>
    </w:p>
    <w:p/>
    <w:p>
      <w:pPr>
        <w:pStyle w:val="Heading1"/>
      </w:pPr>
      <w:r>
        <w:rPr>
          <w:color w:val="1E3A8A"/>
        </w:rPr>
        <w:t>4. 10-Stage Sale Schedule</w:t>
      </w:r>
    </w:p>
    <w:p/>
    <w:p>
      <w:pPr>
        <w:jc w:val="center"/>
      </w:pPr>
      <w:r>
        <w:rPr>
          <w:i/>
          <w:color w:val="64748B"/>
          <w:sz w:val="18"/>
        </w:rPr>
        <w:t>Figure — Sale Stages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</w:tblGrid>
      <w:tr>
        <w:tc>
          <w:tcPr>
            <w:tcW w:type="dxa" w:w="9360"/>
            <w:shd w:fill="FFF7ED" w:val="clear"/>
            <w:tcBorders>
              <w:top w:val="single" w:sz="6" w:color="FDBA74"/>
              <w:left w:val="single" w:sz="6" w:color="FDBA74"/>
              <w:bottom w:val="single" w:sz="6" w:color="FDBA74"/>
              <w:right w:val="single" w:sz="6" w:color="FDBA74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9138"/>
                <w:sz w:val="22"/>
              </w:rPr>
              <w:t>Stage pricing increases weekly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250M YAKOO · $2M soft cap · $5M hard cap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S1 $0.011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$275k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S2 $0.013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$325k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S3 $0.015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$375k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S4 $0.017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$425k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S5 $0.019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$475k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S6 $0.021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$525k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S7 $0.023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$575k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S8 $0.025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$625k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S9 $0.027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$675k</w:t>
            </w:r>
          </w:p>
        </w:tc>
        <w:tc>
          <w:tcPr>
            <w:tcW w:type="dxa" w:w="1872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S10 $0.029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$725k</w:t>
            </w:r>
          </w:p>
        </w:tc>
      </w:tr>
    </w:tbl>
    <w:p>
      <w:pPr>
        <w:spacing w:before="0" w:after="80"/>
      </w:pPr>
    </w:p>
    <w:p>
      <w:pPr>
        <w:jc w:val="center"/>
      </w:pPr>
      <w:r>
        <w:rPr>
          <w:color w:val="64748B"/>
          <w:sz w:val="18"/>
        </w:rPr>
        <w:t>Each stage: 1 week · 25M tokens · unsold tokens roll forward</w:t>
      </w:r>
    </w:p>
    <w:p/>
    <w:p>
      <w:r>
        <w:rPr>
          <w:b w:val="0"/>
          <w:i w:val="0"/>
          <w:sz w:val="22"/>
        </w:rPr>
        <w:t xml:space="preserve">Each stage lasts </w:t>
      </w:r>
      <w:r>
        <w:rPr>
          <w:b/>
          <w:sz w:val="22"/>
        </w:rPr>
        <w:t>one calendar week</w:t>
      </w:r>
      <w:r>
        <w:rPr>
          <w:b w:val="0"/>
          <w:i w:val="0"/>
          <w:sz w:val="22"/>
        </w:rPr>
        <w:t xml:space="preserve">. Stage </w:t>
      </w:r>
      <w:r>
        <w:rPr>
          <w:i/>
          <w:sz w:val="22"/>
        </w:rPr>
        <w:t>N+1</w:t>
      </w:r>
      <w:r>
        <w:rPr>
          <w:b w:val="0"/>
          <w:i w:val="0"/>
          <w:sz w:val="22"/>
        </w:rPr>
        <w:t xml:space="preserve"> opens automatically when stage </w:t>
      </w:r>
      <w:r>
        <w:rPr>
          <w:i/>
          <w:sz w:val="22"/>
        </w:rPr>
        <w:t>N</w:t>
      </w:r>
      <w:r>
        <w:rPr>
          <w:b w:val="0"/>
          <w:i w:val="0"/>
          <w:sz w:val="22"/>
        </w:rPr>
        <w:t xml:space="preserve"> ends </w:t>
      </w:r>
      <w:r>
        <w:rPr>
          <w:b/>
          <w:sz w:val="22"/>
        </w:rPr>
        <w:t>or</w:t>
      </w:r>
      <w:r>
        <w:rPr>
          <w:b w:val="0"/>
          <w:i w:val="0"/>
          <w:sz w:val="22"/>
        </w:rPr>
        <w:t xml:space="preserve"> when stage </w:t>
      </w:r>
      <w:r>
        <w:rPr>
          <w:i/>
          <w:sz w:val="22"/>
        </w:rPr>
        <w:t>N</w:t>
      </w:r>
      <w:r>
        <w:rPr>
          <w:b w:val="0"/>
          <w:i w:val="0"/>
          <w:sz w:val="22"/>
        </w:rPr>
        <w:t xml:space="preserve"> sells out — whichever comes first. Unsold tokens from an earlier stage </w:t>
      </w:r>
      <w:r>
        <w:rPr>
          <w:b/>
          <w:sz w:val="22"/>
        </w:rPr>
        <w:t>roll forward</w:t>
      </w:r>
      <w:r>
        <w:rPr>
          <w:b w:val="0"/>
          <w:i w:val="0"/>
          <w:sz w:val="22"/>
        </w:rPr>
        <w:t xml:space="preserve"> to the next stage at the </w:t>
      </w:r>
      <w:r>
        <w:rPr>
          <w:b/>
          <w:sz w:val="22"/>
        </w:rPr>
        <w:t>next stage’s price</w:t>
      </w:r>
      <w:r>
        <w:rPr>
          <w:b w:val="0"/>
          <w:i w:val="0"/>
          <w:sz w:val="22"/>
        </w:rPr>
        <w:t>.</w:t>
      </w:r>
    </w:p>
    <w:p>
      <w:r>
        <w:rPr>
          <w:b/>
          <w:sz w:val="22"/>
        </w:rPr>
        <w:t>250,000,000 tokens</w:t>
      </w:r>
      <w:r>
        <w:rPr>
          <w:b w:val="0"/>
          <w:i w:val="0"/>
          <w:sz w:val="22"/>
        </w:rPr>
        <w:t xml:space="preserve"> are offered across 10 stages (</w:t>
      </w:r>
      <w:r>
        <w:rPr>
          <w:b/>
          <w:sz w:val="22"/>
        </w:rPr>
        <w:t>25,000,000 tokens</w:t>
      </w:r>
      <w:r>
        <w:rPr>
          <w:b w:val="0"/>
          <w:i w:val="0"/>
          <w:sz w:val="22"/>
        </w:rPr>
        <w:t xml:space="preserve"> target per stage).</w:t>
      </w:r>
    </w:p>
    <w:p>
      <w:r>
        <w:rPr>
          <w:b w:val="0"/>
          <w:i w:val="0"/>
          <w:sz w:val="22"/>
        </w:rPr>
        <w:t xml:space="preserve">Prices increase each stage to reward earliest participants. Stage caps sum to the </w:t>
      </w:r>
      <w:r>
        <w:rPr>
          <w:b/>
          <w:sz w:val="22"/>
        </w:rPr>
        <w:t>$5M hard cap</w:t>
      </w:r>
      <w:r>
        <w:rPr>
          <w:b w:val="0"/>
          <w:i w:val="0"/>
          <w:sz w:val="22"/>
        </w:rPr>
        <w:t>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Stage</w:t>
            </w:r>
          </w:p>
        </w:tc>
        <w:tc>
          <w:tcPr>
            <w:tcW w:type="dxa" w:w="1872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Week</w:t>
            </w:r>
          </w:p>
        </w:tc>
        <w:tc>
          <w:tcPr>
            <w:tcW w:type="dxa" w:w="1872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Price (USD)</w:t>
            </w:r>
          </w:p>
        </w:tc>
        <w:tc>
          <w:tcPr>
            <w:tcW w:type="dxa" w:w="1872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Tokens (target)</w:t>
            </w:r>
          </w:p>
        </w:tc>
        <w:tc>
          <w:tcPr>
            <w:tcW w:type="dxa" w:w="1872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Stage cap (USD)</w:t>
            </w:r>
          </w:p>
        </w:tc>
      </w:tr>
      <w:tr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1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$0.0110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25,000,000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$275,000</w:t>
            </w:r>
          </w:p>
        </w:tc>
      </w:tr>
      <w:tr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2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$0.0130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25,000,000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$325,000</w:t>
            </w:r>
          </w:p>
        </w:tc>
      </w:tr>
      <w:tr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3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$0.0150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25,000,000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$375,000</w:t>
            </w:r>
          </w:p>
        </w:tc>
      </w:tr>
      <w:tr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4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$0.0170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25,000,000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$425,000</w:t>
            </w:r>
          </w:p>
        </w:tc>
      </w:tr>
      <w:tr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5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$0.0190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25,000,000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$475,000</w:t>
            </w:r>
          </w:p>
        </w:tc>
      </w:tr>
      <w:tr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6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$0.0210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25,000,000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$525,000</w:t>
            </w:r>
          </w:p>
        </w:tc>
      </w:tr>
      <w:tr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7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$0.0230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25,000,000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$575,000</w:t>
            </w:r>
          </w:p>
        </w:tc>
      </w:tr>
      <w:tr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8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$0.0250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25,000,000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$625,000</w:t>
            </w:r>
          </w:p>
        </w:tc>
      </w:tr>
      <w:tr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9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$0.0270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25,000,000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$675,000</w:t>
            </w:r>
          </w:p>
        </w:tc>
      </w:tr>
      <w:tr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10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$0.0290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25,000,000</w:t>
            </w:r>
          </w:p>
        </w:tc>
        <w:tc>
          <w:tcPr>
            <w:tcW w:type="dxa" w:w="1872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$725,000</w:t>
            </w:r>
          </w:p>
        </w:tc>
      </w:tr>
      <w:tr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Weighted avg ≈ $0.020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250,000,000</w:t>
            </w:r>
          </w:p>
        </w:tc>
        <w:tc>
          <w:tcPr>
            <w:tcW w:type="dxa" w:w="1872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$5,000,000</w:t>
            </w:r>
          </w:p>
        </w:tc>
      </w:tr>
    </w:tbl>
    <w:p/>
    <w:p>
      <w:pPr>
        <w:pStyle w:val="Heading2"/>
      </w:pPr>
      <w:r>
        <w:t>Stage progression rules</w:t>
      </w:r>
    </w:p>
    <w:p>
      <w:pPr>
        <w:pStyle w:val="ListNumber"/>
      </w:pPr>
      <w:r>
        <w:rPr>
          <w:b/>
          <w:sz w:val="22"/>
        </w:rPr>
        <w:t>Weekly cadence</w:t>
      </w:r>
      <w:r>
        <w:rPr>
          <w:b w:val="0"/>
          <w:i w:val="0"/>
          <w:sz w:val="22"/>
        </w:rPr>
        <w:t xml:space="preserve"> — Each stage is open for 7 days unless sold out earlier.</w:t>
      </w:r>
    </w:p>
    <w:p>
      <w:pPr>
        <w:pStyle w:val="ListNumber"/>
      </w:pPr>
      <w:r>
        <w:rPr>
          <w:b/>
          <w:sz w:val="22"/>
        </w:rPr>
        <w:t>Sold out</w:t>
      </w:r>
      <w:r>
        <w:rPr>
          <w:b w:val="0"/>
          <w:i w:val="0"/>
          <w:sz w:val="22"/>
        </w:rPr>
        <w:t xml:space="preserve"> — If a stage hits its token or USD cap before the week ends, the next stage opens immediately.</w:t>
      </w:r>
    </w:p>
    <w:p>
      <w:pPr>
        <w:pStyle w:val="ListNumber"/>
      </w:pPr>
      <w:r>
        <w:rPr>
          <w:b/>
          <w:sz w:val="22"/>
        </w:rPr>
        <w:t>Roll-forward</w:t>
      </w:r>
      <w:r>
        <w:rPr>
          <w:b w:val="0"/>
          <w:i w:val="0"/>
          <w:sz w:val="22"/>
        </w:rPr>
        <w:t xml:space="preserve"> — Unallocated tokens from a completed stage carry into subsequent stages.</w:t>
      </w:r>
    </w:p>
    <w:p>
      <w:pPr>
        <w:pStyle w:val="ListNumber"/>
      </w:pPr>
      <w:r>
        <w:rPr>
          <w:b/>
          <w:sz w:val="22"/>
        </w:rPr>
        <w:t>Hard cap</w:t>
      </w:r>
      <w:r>
        <w:rPr>
          <w:b w:val="0"/>
          <w:i w:val="0"/>
          <w:sz w:val="22"/>
        </w:rPr>
        <w:t xml:space="preserve"> — When aggregate contributions reach </w:t>
      </w:r>
      <w:r>
        <w:rPr>
          <w:b/>
          <w:sz w:val="22"/>
        </w:rPr>
        <w:t>$5,000,000</w:t>
      </w:r>
      <w:r>
        <w:rPr>
          <w:b w:val="0"/>
          <w:i w:val="0"/>
          <w:sz w:val="22"/>
        </w:rPr>
        <w:t>, the sale ends globally (all chains).</w:t>
      </w:r>
    </w:p>
    <w:p>
      <w:pPr>
        <w:pStyle w:val="ListNumber"/>
      </w:pPr>
      <w:r>
        <w:rPr>
          <w:b/>
          <w:sz w:val="22"/>
        </w:rPr>
        <w:t>Current price</w:t>
      </w:r>
      <w:r>
        <w:rPr>
          <w:b w:val="0"/>
          <w:i w:val="0"/>
          <w:sz w:val="22"/>
        </w:rPr>
        <w:t xml:space="preserve"> — Contributors always pay the </w:t>
      </w:r>
      <w:r>
        <w:rPr>
          <w:b/>
          <w:sz w:val="22"/>
        </w:rPr>
        <w:t>active stage price</w:t>
      </w:r>
      <w:r>
        <w:rPr>
          <w:b w:val="0"/>
          <w:i w:val="0"/>
          <w:sz w:val="22"/>
        </w:rPr>
        <w:t xml:space="preserve"> at time of transaction.</w:t>
      </w:r>
    </w:p>
    <w:p>
      <w:pPr>
        <w:pStyle w:val="Heading2"/>
      </w:pPr>
      <w:r>
        <w:t>Example</w:t>
      </w:r>
    </w:p>
    <w:p>
      <w:pPr>
        <w:pStyle w:val="ListBullet"/>
      </w:pPr>
      <w:r>
        <w:rPr>
          <w:b w:val="0"/>
          <w:i w:val="0"/>
          <w:sz w:val="22"/>
        </w:rPr>
        <w:t>Stage 1 sells $275,000 in 3 days → Stage 2 opens on day 4.</w:t>
      </w:r>
    </w:p>
    <w:p>
      <w:pPr>
        <w:pStyle w:val="ListBullet"/>
      </w:pPr>
      <w:r>
        <w:rPr>
          <w:b w:val="0"/>
          <w:i w:val="0"/>
          <w:sz w:val="22"/>
        </w:rPr>
        <w:t xml:space="preserve">Cumulative raise after Stage 4: $275k + $325k + $375k + $425k = </w:t>
      </w:r>
      <w:r>
        <w:rPr>
          <w:b/>
          <w:sz w:val="22"/>
        </w:rPr>
        <w:t>$1.4M</w:t>
      </w:r>
      <w:r>
        <w:rPr>
          <w:b w:val="0"/>
          <w:i w:val="0"/>
          <w:sz w:val="22"/>
        </w:rPr>
        <w:t xml:space="preserve"> (below soft cap).</w:t>
      </w:r>
    </w:p>
    <w:p>
      <w:pPr>
        <w:pStyle w:val="ListBullet"/>
      </w:pPr>
      <w:r>
        <w:rPr>
          <w:b w:val="0"/>
          <w:i w:val="0"/>
          <w:sz w:val="22"/>
        </w:rPr>
        <w:t>Soft cap (</w:t>
      </w:r>
      <w:r>
        <w:rPr>
          <w:b/>
          <w:sz w:val="22"/>
        </w:rPr>
        <w:t>$2M</w:t>
      </w:r>
      <w:r>
        <w:rPr>
          <w:b w:val="0"/>
          <w:i w:val="0"/>
          <w:sz w:val="22"/>
        </w:rPr>
        <w:t xml:space="preserve">) is typically reached during </w:t>
      </w:r>
      <w:r>
        <w:rPr>
          <w:b/>
          <w:sz w:val="22"/>
        </w:rPr>
        <w:t>Stage 5–6</w:t>
      </w:r>
      <w:r>
        <w:rPr>
          <w:b w:val="0"/>
          <w:i w:val="0"/>
          <w:sz w:val="22"/>
        </w:rPr>
        <w:t xml:space="preserve"> if stages fill on schedule.</w:t>
      </w:r>
    </w:p>
    <w:p/>
    <w:p>
      <w:pPr>
        <w:pStyle w:val="Heading1"/>
      </w:pPr>
      <w:r>
        <w:rPr>
          <w:color w:val="1E3A8A"/>
        </w:rPr>
        <w:t>5. Soft Cap &amp; Hard Cap</w:t>
      </w:r>
    </w:p>
    <w:p>
      <w:pPr>
        <w:pStyle w:val="Heading2"/>
      </w:pPr>
      <w:r>
        <w:t>Soft cap — $2,000,000</w:t>
      </w:r>
    </w:p>
    <w:p>
      <w:r>
        <w:rPr>
          <w:b w:val="0"/>
          <w:i w:val="0"/>
          <w:sz w:val="22"/>
        </w:rPr>
        <w:t xml:space="preserve">The sale </w:t>
      </w:r>
      <w:r>
        <w:rPr>
          <w:b/>
          <w:sz w:val="22"/>
        </w:rPr>
        <w:t>must raise at least $2,000,000</w:t>
      </w:r>
      <w:r>
        <w:rPr>
          <w:b w:val="0"/>
          <w:i w:val="0"/>
          <w:sz w:val="22"/>
        </w:rPr>
        <w:t xml:space="preserve"> (USD equivalent, all chains combined) to succeed.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Outcome</w:t>
            </w:r>
          </w:p>
        </w:tc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Result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≥ $2M raised</w:t>
            </w:r>
            <w:r>
              <w:rPr>
                <w:b w:val="0"/>
                <w:i w:val="0"/>
                <w:sz w:val="22"/>
              </w:rPr>
              <w:t xml:space="preserve"> by sale end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Sale succeeds → TGE + token distribution per schedule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&lt; $2M raised</w:t>
            </w:r>
            <w:r>
              <w:rPr>
                <w:b w:val="0"/>
                <w:i w:val="0"/>
                <w:sz w:val="22"/>
              </w:rPr>
              <w:t xml:space="preserve"> by sale end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 xml:space="preserve">Sale fails → contributions </w:t>
            </w:r>
            <w:r>
              <w:rPr>
                <w:b/>
                <w:sz w:val="22"/>
              </w:rPr>
              <w:t>refunded</w:t>
            </w:r>
            <w:r>
              <w:rPr>
                <w:b w:val="0"/>
                <w:i w:val="0"/>
                <w:sz w:val="22"/>
              </w:rPr>
              <w:t xml:space="preserve"> (minus gas where applicable)</w:t>
            </w:r>
          </w:p>
        </w:tc>
      </w:tr>
    </w:tbl>
    <w:p/>
    <w:p>
      <w:r>
        <w:rPr>
          <w:b w:val="0"/>
          <w:i w:val="0"/>
          <w:sz w:val="22"/>
        </w:rPr>
        <w:t>The soft cap protects contributors: the network bootstrap proceeds only if minimum funding is secured.</w:t>
      </w:r>
    </w:p>
    <w:p>
      <w:pPr>
        <w:pStyle w:val="Heading2"/>
      </w:pPr>
      <w:r>
        <w:t>Hard cap — $5,000,000</w:t>
      </w:r>
    </w:p>
    <w:p>
      <w:r>
        <w:rPr>
          <w:b w:val="0"/>
          <w:i w:val="0"/>
          <w:sz w:val="22"/>
        </w:rPr>
        <w:t xml:space="preserve">The sale </w:t>
      </w:r>
      <w:r>
        <w:rPr>
          <w:b/>
          <w:sz w:val="22"/>
        </w:rPr>
        <w:t>stops immediately</w:t>
      </w:r>
      <w:r>
        <w:rPr>
          <w:b w:val="0"/>
          <w:i w:val="0"/>
          <w:sz w:val="22"/>
        </w:rPr>
        <w:t xml:space="preserve"> when aggregate contributions reach </w:t>
      </w:r>
      <w:r>
        <w:rPr>
          <w:b/>
          <w:sz w:val="22"/>
        </w:rPr>
        <w:t>$5,000,000</w:t>
      </w:r>
      <w:r>
        <w:rPr>
          <w:b w:val="0"/>
          <w:i w:val="0"/>
          <w:sz w:val="22"/>
        </w:rPr>
        <w:t>. No further ICO allocations are sold beyond 250M tokens and $5M cap — whichever limit is hit first.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Cap</w:t>
            </w:r>
          </w:p>
        </w:tc>
        <w:tc>
          <w:tcPr>
            <w:tcW w:type="dxa" w:w="312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Amount</w:t>
            </w:r>
          </w:p>
        </w:tc>
        <w:tc>
          <w:tcPr>
            <w:tcW w:type="dxa" w:w="312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Meaning</w:t>
            </w:r>
          </w:p>
        </w:tc>
      </w:tr>
      <w:tr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Soft cap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$2,000,000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Minimum for successful sale</w:t>
            </w:r>
          </w:p>
        </w:tc>
      </w:tr>
      <w:tr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Hard cap</w:t>
            </w:r>
          </w:p>
        </w:tc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$5,000,000</w:t>
            </w:r>
          </w:p>
        </w:tc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Maximum ICO raise</w:t>
            </w:r>
          </w:p>
        </w:tc>
      </w:tr>
    </w:tbl>
    <w:p/>
    <w:p/>
    <w:p>
      <w:pPr>
        <w:pStyle w:val="Heading1"/>
      </w:pPr>
      <w:r>
        <w:rPr>
          <w:color w:val="1E3A8A"/>
        </w:rPr>
        <w:t>6. Token Delivery &amp; Liquidity Timeline</w:t>
      </w:r>
    </w:p>
    <w:p/>
    <w:p>
      <w:pPr>
        <w:jc w:val="center"/>
      </w:pPr>
      <w:r>
        <w:rPr>
          <w:i/>
          <w:color w:val="64748B"/>
          <w:sz w:val="18"/>
        </w:rPr>
        <w:t>Figure — Ico Timeline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</w:tblGrid>
      <w:tr>
        <w:tc>
          <w:tcPr>
            <w:tcW w:type="dxa" w:w="9360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2"/>
              </w:rPr>
              <w:t>Weeks 1–10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10-stage pre-liquidity ICO · no DEX pool yet</w:t>
            </w:r>
          </w:p>
        </w:tc>
      </w:tr>
    </w:tbl>
    <w:p>
      <w:pPr>
        <w:spacing w:before="0" w:after="80"/>
      </w:pPr>
    </w:p>
    <w:p>
      <w:pPr>
        <w:spacing w:before="40" w:after="40"/>
        <w:jc w:val="center"/>
      </w:pPr>
      <w:r>
        <w:rPr>
          <w:b/>
          <w:color w:val="FF9138"/>
          <w:sz w:val="22"/>
        </w:rPr>
        <w:t>▼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</w:tblGrid>
      <w:tr>
        <w:tc>
          <w:tcPr>
            <w:tcW w:type="dxa" w:w="9360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2"/>
              </w:rPr>
              <w:t>Sale Close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Soft cap check ($2M min) → success or refunds</w:t>
            </w:r>
          </w:p>
        </w:tc>
      </w:tr>
    </w:tbl>
    <w:p>
      <w:pPr>
        <w:spacing w:before="0" w:after="80"/>
      </w:pPr>
    </w:p>
    <w:p>
      <w:pPr>
        <w:spacing w:before="40" w:after="40"/>
        <w:jc w:val="center"/>
      </w:pPr>
      <w:r>
        <w:rPr>
          <w:b/>
          <w:color w:val="FF9138"/>
          <w:sz w:val="22"/>
        </w:rPr>
        <w:t>▼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</w:tblGrid>
      <w:tr>
        <w:tc>
          <w:tcPr>
            <w:tcW w:type="dxa" w:w="9360"/>
            <w:shd w:fill="FFF7ED" w:val="clear"/>
            <w:tcBorders>
              <w:top w:val="single" w:sz="6" w:color="FDBA74"/>
              <w:left w:val="single" w:sz="6" w:color="FDBA74"/>
              <w:bottom w:val="single" w:sz="6" w:color="FDBA74"/>
              <w:right w:val="single" w:sz="6" w:color="FDBA74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9138"/>
                <w:sz w:val="22"/>
              </w:rPr>
              <w:t>TGE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ICO tokens delivered · 100% unlock for public sale</w:t>
            </w:r>
          </w:p>
        </w:tc>
      </w:tr>
    </w:tbl>
    <w:p>
      <w:pPr>
        <w:spacing w:before="0" w:after="80"/>
      </w:pPr>
    </w:p>
    <w:p>
      <w:pPr>
        <w:spacing w:before="40" w:after="40"/>
        <w:jc w:val="center"/>
      </w:pPr>
      <w:r>
        <w:rPr>
          <w:b/>
          <w:color w:val="FF9138"/>
          <w:sz w:val="22"/>
        </w:rPr>
        <w:t>▼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</w:tblGrid>
      <w:tr>
        <w:tc>
          <w:tcPr>
            <w:tcW w:type="dxa" w:w="9360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2"/>
              </w:rPr>
              <w:t>Liquidity Event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10% supply + proceeds seed first DEX pool</w:t>
            </w:r>
          </w:p>
        </w:tc>
      </w:tr>
    </w:tbl>
    <w:p>
      <w:pPr>
        <w:spacing w:before="0" w:after="80"/>
      </w:pPr>
    </w:p>
    <w:p>
      <w:pPr>
        <w:spacing w:before="40" w:after="40"/>
        <w:jc w:val="center"/>
      </w:pPr>
      <w:r>
        <w:rPr>
          <w:b/>
          <w:color w:val="FF9138"/>
          <w:sz w:val="22"/>
        </w:rPr>
        <w:t>▼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</w:tblGrid>
      <w:tr>
        <w:tc>
          <w:tcPr>
            <w:tcW w:type="dxa" w:w="9360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2"/>
              </w:rPr>
              <w:t>Network Bootstrap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Miner/user emissions · validator staking · marketplace fees</w:t>
            </w:r>
          </w:p>
        </w:tc>
      </w:tr>
    </w:tbl>
    <w:p>
      <w:pPr>
        <w:spacing w:before="0" w:after="80"/>
      </w:pPr>
    </w:p>
    <w:p/>
    <w:p>
      <w:pPr>
        <w:pStyle w:val="Heading2"/>
      </w:pPr>
      <w:r>
        <w:t>Pre-liquidity vs post-liquidity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312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Liquidity pool</w:t>
            </w:r>
          </w:p>
        </w:tc>
        <w:tc>
          <w:tcPr>
            <w:tcW w:type="dxa" w:w="312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ICO tokens</w:t>
            </w:r>
          </w:p>
        </w:tc>
      </w:tr>
      <w:tr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During ICO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None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Purchased but not yet tradable on DEX</w:t>
            </w:r>
          </w:p>
        </w:tc>
      </w:tr>
      <w:tr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At TGE</w:t>
            </w:r>
          </w:p>
        </w:tc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Created in separate event</w:t>
            </w:r>
          </w:p>
        </w:tc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Claimable / transferred</w:t>
            </w:r>
            <w:r>
              <w:rPr>
                <w:b w:val="0"/>
                <w:i w:val="0"/>
                <w:sz w:val="22"/>
              </w:rPr>
              <w:t xml:space="preserve"> to buyers</w:t>
            </w:r>
          </w:p>
        </w:tc>
      </w:tr>
      <w:tr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After TGE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Public trading begins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Market price discovered on DEX</w:t>
            </w:r>
          </w:p>
        </w:tc>
      </w:tr>
    </w:tbl>
    <w:p/>
    <w:p>
      <w:r>
        <w:rPr>
          <w:b w:val="0"/>
          <w:i w:val="0"/>
          <w:sz w:val="22"/>
        </w:rPr>
        <w:t xml:space="preserve">Contributors should assume </w:t>
      </w:r>
      <w:r>
        <w:rPr>
          <w:b/>
          <w:sz w:val="22"/>
        </w:rPr>
        <w:t>no secondary liquidity</w:t>
      </w:r>
      <w:r>
        <w:rPr>
          <w:b w:val="0"/>
          <w:i w:val="0"/>
          <w:sz w:val="22"/>
        </w:rPr>
        <w:t xml:space="preserve"> until the post-ICO liquidity event. Plan for illiquidity during and immediately after the sale until TGE.</w:t>
      </w:r>
    </w:p>
    <w:p/>
    <w:p>
      <w:pPr>
        <w:pStyle w:val="Heading1"/>
      </w:pPr>
      <w:r>
        <w:rPr>
          <w:color w:val="1E3A8A"/>
        </w:rPr>
        <w:t>7. Vesting &amp; Lockups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Allocation</w:t>
            </w:r>
          </w:p>
        </w:tc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Vesting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Public sale (ICO)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100% at TGE</w:t>
            </w:r>
            <w:r>
              <w:rPr>
                <w:b w:val="0"/>
                <w:i w:val="0"/>
                <w:sz w:val="22"/>
              </w:rPr>
              <w:t xml:space="preserve"> — full unlock when sale succeeds and tokens are delivered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Liquidity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Locked per DEX LP policy (e.g. 12–24 month lock or burned LP — published before TGE)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Team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4-year linear vesting</w:t>
            </w:r>
            <w:r>
              <w:rPr>
                <w:b w:val="0"/>
                <w:i w:val="0"/>
                <w:sz w:val="22"/>
              </w:rPr>
              <w:t>, **1-year cliff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Ecosystem &amp; treasury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DAO / multisig release schedule — no sale at ICO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Miner &amp; user rewards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Emission schedule over network lifetime (not sold at ICO)</w:t>
            </w:r>
          </w:p>
        </w:tc>
      </w:tr>
    </w:tbl>
    <w:p/>
    <w:p>
      <w:r>
        <w:rPr>
          <w:b w:val="0"/>
          <w:i w:val="0"/>
          <w:sz w:val="22"/>
        </w:rPr>
        <w:t xml:space="preserve">ICO participants receive tokens at TGE with </w:t>
      </w:r>
      <w:r>
        <w:rPr>
          <w:b/>
          <w:sz w:val="22"/>
        </w:rPr>
        <w:t>no vesting cliff</w:t>
      </w:r>
      <w:r>
        <w:rPr>
          <w:b w:val="0"/>
          <w:i w:val="0"/>
          <w:sz w:val="22"/>
        </w:rPr>
        <w:t xml:space="preserve"> on the public allocation — the staged pricing and pre-liquidity model compensate earlier risk.</w:t>
      </w:r>
    </w:p>
    <w:p/>
    <w:p>
      <w:pPr>
        <w:pStyle w:val="Heading1"/>
      </w:pPr>
      <w:r>
        <w:rPr>
          <w:color w:val="1E3A8A"/>
        </w:rPr>
        <w:t>8. Token Utility</w:t>
      </w:r>
    </w:p>
    <w:p>
      <w:r>
        <w:rPr>
          <w:b w:val="0"/>
          <w:i w:val="0"/>
          <w:sz w:val="22"/>
        </w:rPr>
        <w:t xml:space="preserve">YAKOO is a </w:t>
      </w:r>
      <w:r>
        <w:rPr>
          <w:b/>
          <w:sz w:val="22"/>
        </w:rPr>
        <w:t>utility and governance</w:t>
      </w:r>
      <w:r>
        <w:rPr>
          <w:b w:val="0"/>
          <w:i w:val="0"/>
          <w:sz w:val="22"/>
        </w:rPr>
        <w:t xml:space="preserve"> token for the Yakoo AI Network: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Use</w:t>
            </w:r>
          </w:p>
        </w:tc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User training rewards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Paid to users for verified, high-quality interaction data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Miner emissions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Paid to agent operators for attested sessions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Validator staking &amp; rewards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Stake to verify; earn for honest attestation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Marketplace fees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Task payments between users and miners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Governance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Vote on emissions, parameters, treasury, and upgrades</w:t>
            </w:r>
          </w:p>
        </w:tc>
      </w:tr>
    </w:tbl>
    <w:p/>
    <w:p>
      <w:r>
        <w:rPr>
          <w:b w:val="0"/>
          <w:i w:val="0"/>
          <w:sz w:val="22"/>
        </w:rPr>
        <w:t>Utility activates as network mainnet features roll out per the [network roadmap](./Yakoo-AI-Network-Whitepaper.md#14-roadmap). ICO funds accelerate development; token utility is tied to shipped network capabilities.</w:t>
      </w:r>
    </w:p>
    <w:p/>
    <w:p>
      <w:pPr>
        <w:pStyle w:val="Heading1"/>
      </w:pPr>
      <w:r>
        <w:rPr>
          <w:color w:val="1E3A8A"/>
        </w:rPr>
        <w:t>9. Use of ICO Proceeds</w:t>
      </w:r>
    </w:p>
    <w:p>
      <w:r>
        <w:rPr>
          <w:b w:val="0"/>
          <w:i w:val="0"/>
          <w:sz w:val="22"/>
        </w:rPr>
        <w:t>Indicative allocation of net ICO proceeds (subject to DAO / treasury governance post-launch):</w:t>
      </w:r>
    </w:p>
    <w:p/>
    <w:p>
      <w:pPr>
        <w:jc w:val="center"/>
      </w:pPr>
      <w:r>
        <w:rPr>
          <w:i/>
          <w:color w:val="64748B"/>
          <w:sz w:val="18"/>
        </w:rPr>
        <w:t>Figure — Proceeds Allocation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40%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Engineering</w:t>
            </w:r>
          </w:p>
        </w:tc>
        <w:tc>
          <w:tcPr>
            <w:tcW w:type="dxa" w:w="3120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25%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Liquidity ops</w:t>
            </w:r>
          </w:p>
        </w:tc>
        <w:tc>
          <w:tcPr>
            <w:tcW w:type="dxa" w:w="3120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15%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Security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12%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Ecosystem</w:t>
            </w:r>
          </w:p>
        </w:tc>
        <w:tc>
          <w:tcPr>
            <w:tcW w:type="dxa" w:w="4680"/>
            <w:shd w:fill="EFF6FF" w:val="clear"/>
            <w:tcBorders>
              <w:top w:val="single" w:sz="6" w:color="93C5FD"/>
              <w:left w:val="single" w:sz="6" w:color="93C5FD"/>
              <w:bottom w:val="single" w:sz="6" w:color="93C5FD"/>
              <w:right w:val="single" w:sz="6" w:color="93C5FD"/>
            </w:tcBorders>
            <w:tcMar>
              <w:top w:w="60" w:type="dxa"/>
              <w:bottom w:w="60" w:type="dxa"/>
              <w:start w:w="80" w:type="dxa"/>
              <w:end w:w="80" w:type="dxa"/>
            </w:tcMar>
          </w:tcPr>
          <w:p>
            <w:pPr>
              <w:jc w:val="center"/>
            </w:pPr>
            <w:r/>
            <w:r>
              <w:rPr>
                <w:b/>
                <w:color w:val="1E3A8A"/>
                <w:sz w:val="20"/>
              </w:rPr>
              <w:t>8%</w:t>
            </w:r>
          </w:p>
          <w:p>
            <w:pPr>
              <w:jc w:val="center"/>
            </w:pPr>
            <w:r>
              <w:rPr>
                <w:color w:val="64748B"/>
                <w:sz w:val="18"/>
              </w:rPr>
              <w:t>Legal</w:t>
            </w:r>
          </w:p>
        </w:tc>
      </w:tr>
    </w:tbl>
    <w:p>
      <w:pPr>
        <w:spacing w:before="0" w:after="80"/>
      </w:pPr>
    </w:p>
    <w:p/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2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Indicative %</w:t>
            </w:r>
          </w:p>
        </w:tc>
        <w:tc>
          <w:tcPr>
            <w:tcW w:type="dxa" w:w="312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Engineering &amp; product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40%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Amazon agent, SDK, validator tooling, storage integration</w:t>
            </w:r>
          </w:p>
        </w:tc>
      </w:tr>
      <w:tr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Liquidity &amp; market ops</w:t>
            </w:r>
          </w:p>
        </w:tc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25%</w:t>
            </w:r>
          </w:p>
        </w:tc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DEX seeding alongside 10% token liquidity allocation</w:t>
            </w:r>
          </w:p>
        </w:tc>
      </w:tr>
      <w:tr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Security &amp; audits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15%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Smart contract audits, bug bounties, infra hardening</w:t>
            </w:r>
          </w:p>
        </w:tc>
      </w:tr>
      <w:tr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Ecosystem &amp; growth</w:t>
            </w:r>
          </w:p>
        </w:tc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12%</w:t>
            </w:r>
          </w:p>
        </w:tc>
        <w:tc>
          <w:tcPr>
            <w:tcW w:type="dxa" w:w="312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Miner onboarding, grants, community</w:t>
            </w:r>
          </w:p>
        </w:tc>
      </w:tr>
      <w:tr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Legal &amp; compliance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8%</w:t>
            </w:r>
          </w:p>
        </w:tc>
        <w:tc>
          <w:tcPr>
            <w:tcW w:type="dxa" w:w="312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Counsel, jurisdictional review, operational compliance</w:t>
            </w:r>
          </w:p>
        </w:tc>
      </w:tr>
    </w:tbl>
    <w:p/>
    <w:p/>
    <w:p>
      <w:pPr>
        <w:pStyle w:val="Heading1"/>
      </w:pPr>
      <w:r>
        <w:rPr>
          <w:color w:val="1E3A8A"/>
        </w:rPr>
        <w:t>10. Multi-Chain Sale Mechanics</w:t>
      </w:r>
    </w:p>
    <w:p>
      <w:r>
        <w:rPr>
          <w:b w:val="0"/>
          <w:i w:val="0"/>
          <w:sz w:val="22"/>
        </w:rPr>
        <w:t xml:space="preserve">The ICO accepts contributions on </w:t>
      </w:r>
      <w:r>
        <w:rPr>
          <w:b/>
          <w:sz w:val="22"/>
        </w:rPr>
        <w:t>three chains</w:t>
      </w:r>
      <w:r>
        <w:rPr>
          <w:b w:val="0"/>
          <w:i w:val="0"/>
          <w:sz w:val="22"/>
        </w:rPr>
        <w:t xml:space="preserve"> with </w:t>
      </w:r>
      <w:r>
        <w:rPr>
          <w:b/>
          <w:sz w:val="22"/>
        </w:rPr>
        <w:t>shared</w:t>
      </w:r>
      <w:r>
        <w:rPr>
          <w:b w:val="0"/>
          <w:i w:val="0"/>
          <w:sz w:val="22"/>
        </w:rPr>
        <w:t xml:space="preserve"> soft cap and hard cap:</w:t>
      </w:r>
    </w:p>
    <w:p>
      <w:pPr>
        <w:pStyle w:val="ListBullet"/>
      </w:pPr>
      <w:r>
        <w:rPr>
          <w:b/>
          <w:sz w:val="22"/>
        </w:rPr>
        <w:t>Ethereum</w:t>
      </w:r>
      <w:r>
        <w:rPr>
          <w:b w:val="0"/>
          <w:i w:val="0"/>
          <w:sz w:val="22"/>
        </w:rPr>
        <w:t xml:space="preserve"> — ETH contributions</w:t>
      </w:r>
    </w:p>
    <w:p>
      <w:pPr>
        <w:pStyle w:val="ListBullet"/>
      </w:pPr>
      <w:r>
        <w:rPr>
          <w:b/>
          <w:sz w:val="22"/>
        </w:rPr>
        <w:t>BNB Chain</w:t>
      </w:r>
      <w:r>
        <w:rPr>
          <w:b w:val="0"/>
          <w:i w:val="0"/>
          <w:sz w:val="22"/>
        </w:rPr>
        <w:t xml:space="preserve"> — BNB contributions</w:t>
      </w:r>
    </w:p>
    <w:p>
      <w:pPr>
        <w:pStyle w:val="ListBullet"/>
      </w:pPr>
      <w:r>
        <w:rPr>
          <w:b/>
          <w:sz w:val="22"/>
        </w:rPr>
        <w:t>Solana</w:t>
      </w:r>
      <w:r>
        <w:rPr>
          <w:b w:val="0"/>
          <w:i w:val="0"/>
          <w:sz w:val="22"/>
        </w:rPr>
        <w:t xml:space="preserve"> — SOL contributions</w:t>
      </w:r>
    </w:p>
    <w:p>
      <w:pPr>
        <w:pStyle w:val="Heading2"/>
      </w:pPr>
      <w:r>
        <w:t>Aggregate caps</w:t>
      </w:r>
    </w:p>
    <w:p>
      <w:r>
        <w:rPr>
          <w:b w:val="0"/>
          <w:i w:val="0"/>
          <w:sz w:val="22"/>
        </w:rPr>
        <w:t xml:space="preserve">Soft cap ($2M) and hard cap ($5M) apply to the </w:t>
      </w:r>
      <w:r>
        <w:rPr>
          <w:b/>
          <w:sz w:val="22"/>
        </w:rPr>
        <w:t>sum across all chains</w:t>
      </w:r>
      <w:r>
        <w:rPr>
          <w:b w:val="0"/>
          <w:i w:val="0"/>
          <w:sz w:val="22"/>
        </w:rPr>
        <w:t>. A single global counter (or cross-chain messaging / admin reconciliation) ensures the hard cap is not exceeded.</w:t>
      </w:r>
    </w:p>
    <w:p>
      <w:pPr>
        <w:pStyle w:val="Heading2"/>
      </w:pPr>
      <w:r>
        <w:t>Allocation accounting</w:t>
      </w:r>
    </w:p>
    <w:p>
      <w:r>
        <w:rPr>
          <w:b w:val="0"/>
          <w:i w:val="0"/>
          <w:sz w:val="22"/>
        </w:rPr>
        <w:t xml:space="preserve">Each contribution receives YAKOO at the </w:t>
      </w:r>
      <w:r>
        <w:rPr>
          <w:b/>
          <w:sz w:val="22"/>
        </w:rPr>
        <w:t>active stage price</w:t>
      </w:r>
      <w:r>
        <w:rPr>
          <w:b w:val="0"/>
          <w:i w:val="0"/>
          <w:sz w:val="22"/>
        </w:rPr>
        <w:t>:</w:t>
      </w:r>
    </w:p>
    <w:p>
      <w:pPr>
        <w:spacing w:before="120" w:after="120"/>
        <w:ind w:left="216"/>
        <w:shd w:fill="F1F5F9" w:val="clear"/>
      </w:pPr>
      <w:r>
        <w:rPr>
          <w:rFonts w:ascii="Consolas" w:hAnsi="Consolas"/>
          <w:color w:val="334155"/>
          <w:sz w:val="18"/>
        </w:rPr>
        <w:t>tokens = contribution_usd / stage_price_usd</w:t>
      </w:r>
    </w:p>
    <w:p>
      <w:r>
        <w:rPr>
          <w:b w:val="0"/>
          <w:i w:val="0"/>
          <w:sz w:val="22"/>
        </w:rPr>
        <w:t>Cross-chain contributions are normalized to USD at transaction time per contract rules.</w:t>
      </w:r>
    </w:p>
    <w:p>
      <w:pPr>
        <w:pStyle w:val="Heading2"/>
      </w:pPr>
      <w:r>
        <w:t>Contract deployment</w:t>
      </w:r>
    </w:p>
    <w:p>
      <w:r>
        <w:rPr>
          <w:b w:val="0"/>
          <w:i w:val="0"/>
          <w:sz w:val="22"/>
        </w:rPr>
        <w:t>Sale contract addresses are published at [yakoo.xyz/ico](https://yakoo.xyz/ico) when deployed. Until then, the site operates in configuration/preview mode.</w:t>
      </w:r>
    </w:p>
    <w:p/>
    <w:p>
      <w:pPr>
        <w:pStyle w:val="Heading1"/>
      </w:pPr>
      <w:r>
        <w:rPr>
          <w:color w:val="1E3A8A"/>
        </w:rPr>
        <w:t>11. Risk &amp; Disclaimers</w:t>
      </w:r>
    </w:p>
    <w:p>
      <w:r>
        <w:rPr>
          <w:b w:val="0"/>
          <w:i w:val="0"/>
          <w:sz w:val="22"/>
        </w:rPr>
        <w:t xml:space="preserve">This document is </w:t>
      </w:r>
      <w:r>
        <w:rPr>
          <w:b/>
          <w:sz w:val="22"/>
        </w:rPr>
        <w:t>informational</w:t>
      </w:r>
      <w:r>
        <w:rPr>
          <w:b w:val="0"/>
          <w:i w:val="0"/>
          <w:sz w:val="22"/>
        </w:rPr>
        <w:t xml:space="preserve"> and does not constitute financial, legal, or tax advice.</w:t>
      </w:r>
    </w:p>
    <w:p>
      <w:pPr>
        <w:pStyle w:val="ListBullet"/>
      </w:pPr>
      <w:r>
        <w:rPr>
          <w:b/>
          <w:sz w:val="22"/>
        </w:rPr>
        <w:t>Regulatory</w:t>
      </w:r>
      <w:r>
        <w:rPr>
          <w:b w:val="0"/>
          <w:i w:val="0"/>
          <w:sz w:val="22"/>
        </w:rPr>
        <w:t xml:space="preserve"> — Token sales may be restricted in certain jurisdictions. Contributors are responsible for compliance.</w:t>
      </w:r>
    </w:p>
    <w:p>
      <w:pPr>
        <w:pStyle w:val="ListBullet"/>
      </w:pPr>
      <w:r>
        <w:rPr>
          <w:b/>
          <w:sz w:val="22"/>
        </w:rPr>
        <w:t>Smart contract risk</w:t>
      </w:r>
      <w:r>
        <w:rPr>
          <w:b w:val="0"/>
          <w:i w:val="0"/>
          <w:sz w:val="22"/>
        </w:rPr>
        <w:t xml:space="preserve"> — Bugs, exploits, or oracle failures can cause loss. Audits reduce but do not eliminate risk.</w:t>
      </w:r>
    </w:p>
    <w:p>
      <w:pPr>
        <w:pStyle w:val="ListBullet"/>
      </w:pPr>
      <w:r>
        <w:rPr>
          <w:b/>
          <w:sz w:val="22"/>
        </w:rPr>
        <w:t>No guarantee</w:t>
      </w:r>
      <w:r>
        <w:rPr>
          <w:b w:val="0"/>
          <w:i w:val="0"/>
          <w:sz w:val="22"/>
        </w:rPr>
        <w:t xml:space="preserve"> — Soft cap, hard cap, stage timing, and utility delivery depend on implementation and market participation.</w:t>
      </w:r>
    </w:p>
    <w:p>
      <w:pPr>
        <w:pStyle w:val="ListBullet"/>
      </w:pPr>
      <w:r>
        <w:rPr>
          <w:b/>
          <w:sz w:val="22"/>
        </w:rPr>
        <w:t>Pre-liquidity</w:t>
      </w:r>
      <w:r>
        <w:rPr>
          <w:b w:val="0"/>
          <w:i w:val="0"/>
          <w:sz w:val="22"/>
        </w:rPr>
        <w:t xml:space="preserve"> — Tokens are not DEX-tradable during ICO. Price discovery happens only after liquidity is added.</w:t>
      </w:r>
    </w:p>
    <w:p>
      <w:pPr>
        <w:pStyle w:val="ListBullet"/>
      </w:pPr>
      <w:r>
        <w:rPr>
          <w:b/>
          <w:sz w:val="22"/>
        </w:rPr>
        <w:t>Network beta</w:t>
      </w:r>
      <w:r>
        <w:rPr>
          <w:b w:val="0"/>
          <w:i w:val="0"/>
          <w:sz w:val="22"/>
        </w:rPr>
        <w:t xml:space="preserve"> — Miner, validator, and reward features are on the roadmap; utility grows with shipped product.</w:t>
      </w:r>
    </w:p>
    <w:p>
      <w:r>
        <w:rPr>
          <w:b w:val="0"/>
          <w:i w:val="0"/>
          <w:sz w:val="22"/>
        </w:rPr>
        <w:t>For network architecture and training-loop design, see the [Yakoo AI Network Whitepaper](./Yakoo-AI-Network-Whitepaper.md).</w:t>
      </w:r>
    </w:p>
    <w:p/>
    <w:p>
      <w:pPr>
        <w:pStyle w:val="Heading1"/>
      </w:pPr>
      <w:r>
        <w:rPr>
          <w:color w:val="1E3A8A"/>
        </w:rPr>
        <w:t>Summary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4680"/>
            <w:shd w:fill="1E3A8A" w:val="clear"/>
            <w:tcBorders>
              <w:top w:val="single" w:sz="6" w:color="1E3A8A"/>
              <w:left w:val="single" w:sz="6" w:color="1E3A8A"/>
              <w:bottom w:val="single" w:sz="6" w:color="1E3A8A"/>
              <w:right w:val="single" w:sz="6" w:color="1E3A8A"/>
            </w:tcBorders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Total supply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1,000,000,000 YAKOO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ICO allocation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250,000,000 YAKOO (25%)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Sale type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Pre-liquidity</w:t>
            </w:r>
            <w:r>
              <w:rPr>
                <w:b w:val="0"/>
                <w:i w:val="0"/>
                <w:sz w:val="22"/>
              </w:rPr>
              <w:t xml:space="preserve"> staged ICO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Stages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10 × 1 week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Soft cap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$2,000,000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Hard cap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$5,000,000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Price range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$0.011 → $0.029</w:t>
            </w:r>
            <w:r>
              <w:rPr>
                <w:b w:val="0"/>
                <w:i w:val="0"/>
                <w:sz w:val="22"/>
              </w:rPr>
              <w:t xml:space="preserve"> (stage 1 → 10)</w:t>
            </w:r>
          </w:p>
        </w:tc>
      </w:tr>
      <w:tr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ICO vesting</w:t>
            </w:r>
          </w:p>
        </w:tc>
        <w:tc>
          <w:tcPr>
            <w:tcW w:type="dxa" w:w="4680"/>
            <w:shd w:fill="FFFFFF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100% at TGE</w:t>
            </w:r>
          </w:p>
        </w:tc>
      </w:tr>
      <w:tr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 w:val="0"/>
                <w:i w:val="0"/>
                <w:sz w:val="22"/>
              </w:rPr>
              <w:t>Liquidity</w:t>
            </w:r>
          </w:p>
        </w:tc>
        <w:tc>
          <w:tcPr>
            <w:tcW w:type="dxa" w:w="4680"/>
            <w:shd w:fill="F8FAFC" w:val="clear"/>
            <w:tcBorders>
              <w:top w:val="single" w:sz="6" w:color="E2E8F0"/>
              <w:left w:val="single" w:sz="6" w:color="E2E8F0"/>
              <w:bottom w:val="single" w:sz="6" w:color="E2E8F0"/>
              <w:right w:val="single" w:sz="6" w:color="E2E8F0"/>
            </w:tcBorders>
            <w:tcMar>
              <w:top w:w="60" w:type="dxa"/>
              <w:bottom w:w="60" w:type="dxa"/>
              <w:start w:w="100" w:type="dxa"/>
              <w:end w:w="100" w:type="dxa"/>
            </w:tcMar>
          </w:tcPr>
          <w:p>
            <w:r/>
            <w:r>
              <w:rPr>
                <w:b/>
                <w:sz w:val="22"/>
              </w:rPr>
              <w:t>10% supply — added after ICO, not sold in ICO</w:t>
            </w:r>
          </w:p>
        </w:tc>
      </w:tr>
    </w:tbl>
    <w:p/>
    <w:p>
      <w:r>
        <w:rPr>
          <w:b/>
          <w:sz w:val="22"/>
        </w:rPr>
        <w:t>Yakoo AI Network</w:t>
      </w:r>
      <w:r>
        <w:rPr>
          <w:b w:val="0"/>
          <w:i w:val="0"/>
          <w:sz w:val="22"/>
        </w:rPr>
        <w:t xml:space="preserve"> · [yakoo.xyz](https://yakoo.xyz) · [ICO](https://yakoo.xyz/ico) · [Tokenomics](https://yakoo.xyz/tokenomics)</w:t>
      </w:r>
    </w:p>
    <w:p/>
    <w:p>
      <w:r>
        <w:rPr>
          <w:i/>
          <w:sz w:val="22"/>
        </w:rPr>
        <w:t>Document version 1.0 · June 2026 · Subject to update when contract parameters are finalized.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